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Rule="auto"/>
              <w:jc w:val="center"/>
              <w:rPr>
                <w:rFonts w:ascii="Calibri" w:cs="Calibri" w:eastAsia="Calibri" w:hAnsi="Calibri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9191a"/>
                <w:sz w:val="27"/>
                <w:szCs w:val="27"/>
                <w:rtl w:val="0"/>
              </w:rPr>
              <w:t xml:space="preserve">DECRETO DEL PRESIDENTE DELLA REPUBBLICA 13 giugno 2023, n. 81</w:t>
            </w:r>
          </w:p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rFonts w:ascii="Calibri" w:cs="Calibri" w:eastAsia="Calibri" w:hAnsi="Calibri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9191a"/>
                <w:sz w:val="27"/>
                <w:szCs w:val="27"/>
                <w:rtl w:val="0"/>
              </w:rPr>
              <w:t xml:space="preserve">Regolamento concernente modifiche al decreto del Presidente della Repubblica 16 aprile 2013, n. 62, recante "Codice di comportamento dei dipendenti pubblici, a norma dell'articolo 54 del decreto legislativo 30 marzo 2001, n. 165"</w:t>
            </w:r>
          </w:p>
          <w:p w:rsidR="00000000" w:rsidDel="00000000" w:rsidP="00000000" w:rsidRDefault="00000000" w:rsidRPr="00000000" w14:paraId="00000004">
            <w:pPr>
              <w:spacing w:after="240" w:lineRule="auto"/>
              <w:jc w:val="center"/>
              <w:rPr>
                <w:rFonts w:ascii="Calibri" w:cs="Calibri" w:eastAsia="Calibri" w:hAnsi="Calibri"/>
                <w:color w:val="0000ee"/>
                <w:sz w:val="27"/>
                <w:szCs w:val="27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7"/>
                  <w:szCs w:val="27"/>
                  <w:rtl w:val="0"/>
                </w:rPr>
                <w:t xml:space="preserve">https://www.gazzettaufficiale.it/eli/id/2023/06/29/23G00092/sg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7.511811023622"/>
        <w:tblGridChange w:id="0">
          <w:tblGrid>
            <w:gridCol w:w="9637.511811023622"/>
          </w:tblGrid>
        </w:tblGridChange>
      </w:tblGrid>
      <w:tr>
        <w:trPr>
          <w:cantSplit w:val="0"/>
          <w:trHeight w:val="4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lineRule="auto"/>
              <w:jc w:val="center"/>
              <w:rPr>
                <w:rFonts w:ascii="Calibri" w:cs="Calibri" w:eastAsia="Calibri" w:hAnsi="Calibri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9191a"/>
                <w:sz w:val="27"/>
                <w:szCs w:val="27"/>
                <w:rtl w:val="0"/>
              </w:rPr>
              <w:t xml:space="preserve">D.M. 26 aprile 2022 n. 105</w:t>
            </w:r>
          </w:p>
          <w:p w:rsidR="00000000" w:rsidDel="00000000" w:rsidP="00000000" w:rsidRDefault="00000000" w:rsidRPr="00000000" w14:paraId="00000007">
            <w:pPr>
              <w:spacing w:after="240" w:lineRule="auto"/>
              <w:jc w:val="center"/>
              <w:rPr>
                <w:rFonts w:ascii="Calibri" w:cs="Calibri" w:eastAsia="Calibri" w:hAnsi="Calibri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9191a"/>
                <w:sz w:val="27"/>
                <w:szCs w:val="27"/>
                <w:rtl w:val="0"/>
              </w:rPr>
              <w:t xml:space="preserve">Adozione del Codice di comportamento dei dipendenti del Ministero dell’istruzione</w:t>
            </w:r>
          </w:p>
          <w:p w:rsidR="00000000" w:rsidDel="00000000" w:rsidP="00000000" w:rsidRDefault="00000000" w:rsidRPr="00000000" w14:paraId="00000008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https://www.miur.gov.it/documents/20182/0/d.m.+105+26-04-2022+-+adozione+Codice+comportamento.pdf/4bbf8b70-7ba8-d53a-3608-87e1eaeb7567?t=1654524002834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Codice di comportamento dei dipendenti del Ministero dell’istruzione</w:t>
            </w:r>
          </w:p>
          <w:p w:rsidR="00000000" w:rsidDel="00000000" w:rsidP="00000000" w:rsidRDefault="00000000" w:rsidRPr="00000000" w14:paraId="0000000A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https://www.miur.gov.it/documents/20182/0/Codice+di+comportamento+dei+dipendenti+del+Ministero+dell%27istruzione.pdf/784ea356-9642-8227-a45f-68c3968f9042?t=1654524002518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Tabella di corrispondenza tra la violazione dei doveri e le sanzioni disciplinari vigenti</w:t>
            </w:r>
          </w:p>
          <w:p w:rsidR="00000000" w:rsidDel="00000000" w:rsidP="00000000" w:rsidRDefault="00000000" w:rsidRPr="00000000" w14:paraId="0000000C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https://www.miur.gov.it/documents/20182/0/Tabella+codice+comportamento.pdf/471af791-daee-96d1-8faf-fba08bc3cad6?t=1654524003277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Codice disciplinare del personale della scuola inserito nel CCNL istruzione e ricerca 2016-2018</w:t>
            </w:r>
          </w:p>
          <w:p w:rsidR="00000000" w:rsidDel="00000000" w:rsidP="00000000" w:rsidRDefault="00000000" w:rsidRPr="00000000" w14:paraId="0000000E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CCNL istruzione e ricerca 2016-2018 del 19 aprile 2018</w:t>
            </w:r>
          </w:p>
          <w:p w:rsidR="00000000" w:rsidDel="00000000" w:rsidP="00000000" w:rsidRDefault="00000000" w:rsidRPr="00000000" w14:paraId="0000000F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https://www.aranagenzia.it/attachments/article/8944/CCNL_ ISTR RICERCA SIGLATO 19_4_2018 DEF_PUBB_2.pdf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PARTE COMUNE Titolo III "Responsabilità disciplinare"</w:t>
            </w:r>
          </w:p>
          <w:p w:rsidR="00000000" w:rsidDel="00000000" w:rsidP="00000000" w:rsidRDefault="00000000" w:rsidRPr="00000000" w14:paraId="00000011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artt. da 10 a 17 da pag. 16 a pag. 28 - disposizioni valide per il personale ATA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SEZIONE SCUOLA Titolo III “I docenti”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art. 29 da pag. 42 a pag. 43 – disposizioni valide per il personale docente ed educativo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Codice di comportamento dei dipendenti delle pubbliche amministrazioni</w:t>
            </w:r>
          </w:p>
          <w:p w:rsidR="00000000" w:rsidDel="00000000" w:rsidP="00000000" w:rsidRDefault="00000000" w:rsidRPr="00000000" w14:paraId="00000015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Decreto del Presidente della Repubblica 16 aprile 2013, n. 62 </w:t>
            </w:r>
          </w:p>
          <w:p w:rsidR="00000000" w:rsidDel="00000000" w:rsidP="00000000" w:rsidRDefault="00000000" w:rsidRPr="00000000" w14:paraId="00000016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Regolamento recante codice di comportamento dei dipendenti pubblici, a norma dell'articolo 54 del decreto legislativo 30 marzo 2001, n. 165 (GU n.129 del 4-6-2013)</w:t>
            </w:r>
          </w:p>
          <w:p w:rsidR="00000000" w:rsidDel="00000000" w:rsidP="00000000" w:rsidRDefault="00000000" w:rsidRPr="00000000" w14:paraId="00000017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https://www.normattiva.it/uri-res/N2Ls?urn:nir:stato:decreto.del.presidente.della.repubblica:2013-04-16;62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Decreto legislativo 30 marzo 2001, n. 165</w:t>
            </w:r>
          </w:p>
          <w:p w:rsidR="00000000" w:rsidDel="00000000" w:rsidP="00000000" w:rsidRDefault="00000000" w:rsidRPr="00000000" w14:paraId="00000019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Norme generali sull'ordinamento del lavoro alle dipendenze delle amministrazioni pubbliche.</w:t>
            </w:r>
          </w:p>
          <w:p w:rsidR="00000000" w:rsidDel="00000000" w:rsidP="00000000" w:rsidRDefault="00000000" w:rsidRPr="00000000" w14:paraId="0000001A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https://www.normattiva.it/uri-res/N2Ls?urn:nir:stato:decreto.legislativo:2001-03-30;165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Titolo IV “Rapporto di lavoro” artt. da 55 a 55 octies</w:t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Decreto legislativo 16 aprile 1994, n. 297</w:t>
            </w:r>
          </w:p>
          <w:p w:rsidR="00000000" w:rsidDel="00000000" w:rsidP="00000000" w:rsidRDefault="00000000" w:rsidRPr="00000000" w14:paraId="0000001D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(GU n.115 del 19-05-1994 - Suppl. Ordinario n. 79)</w:t>
            </w:r>
          </w:p>
          <w:p w:rsidR="00000000" w:rsidDel="00000000" w:rsidP="00000000" w:rsidRDefault="00000000" w:rsidRPr="00000000" w14:paraId="0000001E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Approvazione del testo unico delle disposizioni legislative vigenti in materia di istruzione, relative alle scuole di ogni ordine e grado.</w:t>
            </w:r>
          </w:p>
          <w:p w:rsidR="00000000" w:rsidDel="00000000" w:rsidP="00000000" w:rsidRDefault="00000000" w:rsidRPr="00000000" w14:paraId="0000001F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0000ee"/>
                <w:sz w:val="27"/>
                <w:szCs w:val="27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ee"/>
                  <w:sz w:val="27"/>
                  <w:szCs w:val="27"/>
                  <w:rtl w:val="0"/>
                </w:rPr>
                <w:t xml:space="preserve">https://www.normattiva.it/uri-res/N2Ls?urn:nir:stato:decreto.legislativo:1994-04-16;297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Capo IV “Disciplina” - Sezione I “Sanzioni disciplinari”</w:t>
            </w:r>
          </w:p>
          <w:p w:rsidR="00000000" w:rsidDel="00000000" w:rsidP="00000000" w:rsidRDefault="00000000" w:rsidRPr="00000000" w14:paraId="00000021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9191a"/>
                <w:sz w:val="27"/>
                <w:szCs w:val="27"/>
                <w:rtl w:val="0"/>
              </w:rPr>
              <w:t xml:space="preserve"> artt. da 492 a 501- disposizioni valide per il personale docente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DB799F"/>
    <w:pPr>
      <w:suppressAutoHyphens w:val="1"/>
      <w:autoSpaceDN w:val="0"/>
      <w:textAlignment w:val="baseline"/>
    </w:pPr>
    <w:rPr>
      <w:kern w:val="3"/>
      <w:sz w:val="24"/>
      <w:szCs w:val="24"/>
      <w:lang w:bidi="hi-IN" w:eastAsia="zh-CN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190A7E"/>
    <w:pPr>
      <w:keepNext w:val="1"/>
      <w:keepLines w:val="1"/>
      <w:spacing w:after="80" w:before="360"/>
      <w:outlineLvl w:val="0"/>
    </w:pPr>
    <w:rPr>
      <w:rFonts w:cs="Mangal" w:asciiTheme="majorHAnsi" w:eastAsiaTheme="majorEastAsia" w:hAnsiTheme="majorHAnsi"/>
      <w:color w:val="0f4761" w:themeColor="accent1" w:themeShade="0000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90A7E"/>
    <w:pPr>
      <w:keepNext w:val="1"/>
      <w:keepLines w:val="1"/>
      <w:spacing w:after="80" w:before="160"/>
      <w:outlineLvl w:val="1"/>
    </w:pPr>
    <w:rPr>
      <w:rFonts w:cs="Mangal" w:asciiTheme="majorHAnsi" w:eastAsiaTheme="majorEastAsia" w:hAnsiTheme="majorHAnsi"/>
      <w:color w:val="0f4761" w:themeColor="accent1" w:themeShade="0000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90A7E"/>
    <w:pPr>
      <w:keepNext w:val="1"/>
      <w:keepLines w:val="1"/>
      <w:spacing w:after="80" w:before="160"/>
      <w:outlineLvl w:val="2"/>
    </w:pPr>
    <w:rPr>
      <w:rFonts w:cs="Mangal" w:asciiTheme="minorHAnsi" w:eastAsiaTheme="majorEastAsia" w:hAnsiTheme="minorHAnsi"/>
      <w:color w:val="0f4761" w:themeColor="accent1" w:themeShade="0000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190A7E"/>
    <w:pPr>
      <w:keepNext w:val="1"/>
      <w:keepLines w:val="1"/>
      <w:spacing w:after="40" w:before="80"/>
      <w:outlineLvl w:val="3"/>
    </w:pPr>
    <w:rPr>
      <w:rFonts w:cs="Mangal" w:asciiTheme="minorHAnsi" w:eastAsiaTheme="majorEastAsia" w:hAnsiTheme="minorHAnsi"/>
      <w:i w:val="1"/>
      <w:iCs w:val="1"/>
      <w:color w:val="0f4761" w:themeColor="accent1" w:themeShade="0000BF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190A7E"/>
    <w:pPr>
      <w:keepNext w:val="1"/>
      <w:keepLines w:val="1"/>
      <w:spacing w:after="40" w:before="80"/>
      <w:outlineLvl w:val="4"/>
    </w:pPr>
    <w:rPr>
      <w:rFonts w:cs="Mangal" w:asciiTheme="minorHAnsi" w:eastAsiaTheme="majorEastAsia" w:hAnsiTheme="minorHAnsi"/>
      <w:color w:val="0f4761" w:themeColor="accent1" w:themeShade="0000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190A7E"/>
    <w:pPr>
      <w:keepNext w:val="1"/>
      <w:keepLines w:val="1"/>
      <w:spacing w:before="40"/>
      <w:outlineLvl w:val="5"/>
    </w:pPr>
    <w:rPr>
      <w:rFonts w:cs="Mangal" w:asciiTheme="minorHAnsi" w:eastAsiaTheme="majorEastAsia" w:hAnsiTheme="minorHAnsi"/>
      <w:i w:val="1"/>
      <w:iCs w:val="1"/>
      <w:color w:val="595959" w:themeColor="text1" w:themeTint="0000A6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90A7E"/>
    <w:pPr>
      <w:keepNext w:val="1"/>
      <w:keepLines w:val="1"/>
      <w:spacing w:before="40"/>
      <w:outlineLvl w:val="6"/>
    </w:pPr>
    <w:rPr>
      <w:rFonts w:cs="Mangal" w:asciiTheme="minorHAnsi" w:eastAsiaTheme="majorEastAsia" w:hAnsiTheme="minorHAnsi"/>
      <w:color w:val="595959" w:themeColor="text1" w:themeTint="0000A6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90A7E"/>
    <w:pPr>
      <w:keepNext w:val="1"/>
      <w:keepLines w:val="1"/>
      <w:outlineLvl w:val="7"/>
    </w:pPr>
    <w:rPr>
      <w:rFonts w:cs="Mangal" w:asciiTheme="minorHAnsi" w:eastAsiaTheme="majorEastAsia" w:hAnsiTheme="minorHAnsi"/>
      <w:i w:val="1"/>
      <w:iCs w:val="1"/>
      <w:color w:val="272727" w:themeColor="text1" w:themeTint="0000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90A7E"/>
    <w:pPr>
      <w:keepNext w:val="1"/>
      <w:keepLines w:val="1"/>
      <w:outlineLvl w:val="8"/>
    </w:pPr>
    <w:rPr>
      <w:rFonts w:cs="Mangal" w:asciiTheme="minorHAnsi" w:eastAsiaTheme="majorEastAsia" w:hAnsiTheme="minorHAnsi"/>
      <w:color w:val="272727" w:themeColor="text1" w:themeTint="0000D8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90A7E"/>
    <w:rPr>
      <w:rFonts w:cs="Mangal" w:asciiTheme="majorHAnsi" w:eastAsiaTheme="majorEastAsia" w:hAnsiTheme="majorHAnsi"/>
      <w:color w:val="0f4761" w:themeColor="accent1" w:themeShade="0000BF"/>
      <w:kern w:val="3"/>
      <w:sz w:val="40"/>
      <w:szCs w:val="36"/>
      <w:lang w:bidi="hi-IN" w:eastAsia="zh-CN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90A7E"/>
    <w:rPr>
      <w:rFonts w:cs="Mangal" w:asciiTheme="majorHAnsi" w:eastAsiaTheme="majorEastAsia" w:hAnsiTheme="majorHAnsi"/>
      <w:color w:val="0f4761" w:themeColor="accent1" w:themeShade="0000BF"/>
      <w:kern w:val="3"/>
      <w:sz w:val="32"/>
      <w:szCs w:val="29"/>
      <w:lang w:bidi="hi-IN" w:eastAsia="zh-CN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90A7E"/>
    <w:rPr>
      <w:rFonts w:cs="Mangal" w:asciiTheme="minorHAnsi" w:eastAsiaTheme="majorEastAsia" w:hAnsiTheme="minorHAnsi"/>
      <w:color w:val="0f4761" w:themeColor="accent1" w:themeShade="0000BF"/>
      <w:kern w:val="3"/>
      <w:sz w:val="28"/>
      <w:szCs w:val="25"/>
      <w:lang w:bidi="hi-IN" w:eastAsia="zh-CN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90A7E"/>
    <w:rPr>
      <w:rFonts w:cs="Mangal" w:asciiTheme="minorHAnsi" w:eastAsiaTheme="majorEastAsia" w:hAnsiTheme="minorHAnsi"/>
      <w:i w:val="1"/>
      <w:iCs w:val="1"/>
      <w:color w:val="0f4761" w:themeColor="accent1" w:themeShade="0000BF"/>
      <w:kern w:val="3"/>
      <w:sz w:val="24"/>
      <w:szCs w:val="21"/>
      <w:lang w:bidi="hi-IN" w:eastAsia="zh-CN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90A7E"/>
    <w:rPr>
      <w:rFonts w:cs="Mangal" w:asciiTheme="minorHAnsi" w:eastAsiaTheme="majorEastAsia" w:hAnsiTheme="minorHAnsi"/>
      <w:color w:val="0f4761" w:themeColor="accent1" w:themeShade="0000BF"/>
      <w:kern w:val="3"/>
      <w:sz w:val="24"/>
      <w:szCs w:val="21"/>
      <w:lang w:bidi="hi-IN" w:eastAsia="zh-CN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90A7E"/>
    <w:rPr>
      <w:rFonts w:cs="Mangal" w:asciiTheme="minorHAnsi" w:eastAsiaTheme="majorEastAsia" w:hAnsiTheme="minorHAnsi"/>
      <w:i w:val="1"/>
      <w:iCs w:val="1"/>
      <w:color w:val="595959" w:themeColor="text1" w:themeTint="0000A6"/>
      <w:kern w:val="3"/>
      <w:sz w:val="24"/>
      <w:szCs w:val="21"/>
      <w:lang w:bidi="hi-IN" w:eastAsia="zh-CN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90A7E"/>
    <w:rPr>
      <w:rFonts w:cs="Mangal" w:asciiTheme="minorHAnsi" w:eastAsiaTheme="majorEastAsia" w:hAnsiTheme="minorHAnsi"/>
      <w:color w:val="595959" w:themeColor="text1" w:themeTint="0000A6"/>
      <w:kern w:val="3"/>
      <w:sz w:val="24"/>
      <w:szCs w:val="21"/>
      <w:lang w:bidi="hi-IN" w:eastAsia="zh-CN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90A7E"/>
    <w:rPr>
      <w:rFonts w:cs="Mangal" w:asciiTheme="minorHAnsi" w:eastAsiaTheme="majorEastAsia" w:hAnsiTheme="minorHAnsi"/>
      <w:i w:val="1"/>
      <w:iCs w:val="1"/>
      <w:color w:val="272727" w:themeColor="text1" w:themeTint="0000D8"/>
      <w:kern w:val="3"/>
      <w:sz w:val="24"/>
      <w:szCs w:val="21"/>
      <w:lang w:bidi="hi-IN" w:eastAsia="zh-CN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90A7E"/>
    <w:rPr>
      <w:rFonts w:cs="Mangal" w:asciiTheme="minorHAnsi" w:eastAsiaTheme="majorEastAsia" w:hAnsiTheme="minorHAnsi"/>
      <w:color w:val="272727" w:themeColor="text1" w:themeTint="0000D8"/>
      <w:kern w:val="3"/>
      <w:sz w:val="24"/>
      <w:szCs w:val="21"/>
      <w:lang w:bidi="hi-IN" w:eastAsia="zh-CN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190A7E"/>
    <w:pPr>
      <w:spacing w:after="80"/>
      <w:contextualSpacing w:val="1"/>
    </w:pPr>
    <w:rPr>
      <w:rFonts w:cs="Mangal" w:asciiTheme="majorHAnsi" w:eastAsiaTheme="majorEastAsia" w:hAnsiTheme="majorHAnsi"/>
      <w:spacing w:val="-10"/>
      <w:kern w:val="28"/>
      <w:sz w:val="56"/>
      <w:szCs w:val="50"/>
    </w:rPr>
  </w:style>
  <w:style w:type="character" w:styleId="TitoloCarattere" w:customStyle="1">
    <w:name w:val="Titolo Carattere"/>
    <w:basedOn w:val="Carpredefinitoparagrafo"/>
    <w:link w:val="Titolo"/>
    <w:uiPriority w:val="10"/>
    <w:rsid w:val="00190A7E"/>
    <w:rPr>
      <w:rFonts w:cs="Mangal" w:asciiTheme="majorHAnsi" w:eastAsiaTheme="majorEastAsia" w:hAnsiTheme="majorHAnsi"/>
      <w:spacing w:val="-10"/>
      <w:kern w:val="28"/>
      <w:sz w:val="56"/>
      <w:szCs w:val="50"/>
      <w:lang w:bidi="hi-IN"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190A7E"/>
    <w:pPr>
      <w:numPr>
        <w:ilvl w:val="1"/>
      </w:numPr>
      <w:spacing w:after="160"/>
    </w:pPr>
    <w:rPr>
      <w:rFonts w:cs="Mangal" w:asciiTheme="minorHAnsi" w:eastAsiaTheme="majorEastAsia" w:hAnsiTheme="minorHAnsi"/>
      <w:color w:val="595959" w:themeColor="text1" w:themeTint="0000A6"/>
      <w:spacing w:val="15"/>
      <w:sz w:val="28"/>
      <w:szCs w:val="25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90A7E"/>
    <w:rPr>
      <w:rFonts w:cs="Mangal" w:asciiTheme="minorHAnsi" w:eastAsiaTheme="majorEastAsia" w:hAnsiTheme="minorHAnsi"/>
      <w:color w:val="595959" w:themeColor="text1" w:themeTint="0000A6"/>
      <w:spacing w:val="15"/>
      <w:kern w:val="3"/>
      <w:sz w:val="28"/>
      <w:szCs w:val="25"/>
      <w:lang w:bidi="hi-IN" w:eastAsia="zh-CN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90A7E"/>
    <w:pPr>
      <w:spacing w:after="160" w:before="160"/>
      <w:jc w:val="center"/>
    </w:pPr>
    <w:rPr>
      <w:rFonts w:cs="Mangal"/>
      <w:i w:val="1"/>
      <w:iCs w:val="1"/>
      <w:color w:val="404040" w:themeColor="text1" w:themeTint="0000BF"/>
      <w:szCs w:val="2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90A7E"/>
    <w:rPr>
      <w:rFonts w:cs="Mangal"/>
      <w:i w:val="1"/>
      <w:iCs w:val="1"/>
      <w:color w:val="404040" w:themeColor="text1" w:themeTint="0000BF"/>
      <w:kern w:val="3"/>
      <w:sz w:val="24"/>
      <w:szCs w:val="21"/>
      <w:lang w:bidi="hi-IN" w:eastAsia="zh-CN"/>
    </w:rPr>
  </w:style>
  <w:style w:type="paragraph" w:styleId="Paragrafoelenco">
    <w:name w:val="List Paragraph"/>
    <w:basedOn w:val="Normale"/>
    <w:uiPriority w:val="34"/>
    <w:qFormat w:val="1"/>
    <w:rsid w:val="00190A7E"/>
    <w:pPr>
      <w:ind w:left="720"/>
      <w:contextualSpacing w:val="1"/>
    </w:pPr>
    <w:rPr>
      <w:rFonts w:cs="Mangal"/>
      <w:szCs w:val="21"/>
    </w:rPr>
  </w:style>
  <w:style w:type="character" w:styleId="Enfasiintensa">
    <w:name w:val="Intense Emphasis"/>
    <w:basedOn w:val="Carpredefinitoparagrafo"/>
    <w:uiPriority w:val="21"/>
    <w:qFormat w:val="1"/>
    <w:rsid w:val="00190A7E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90A7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cs="Mangal"/>
      <w:i w:val="1"/>
      <w:iCs w:val="1"/>
      <w:color w:val="0f4761" w:themeColor="accent1" w:themeShade="0000BF"/>
      <w:szCs w:val="2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90A7E"/>
    <w:rPr>
      <w:rFonts w:cs="Mangal"/>
      <w:i w:val="1"/>
      <w:iCs w:val="1"/>
      <w:color w:val="0f4761" w:themeColor="accent1" w:themeShade="0000BF"/>
      <w:kern w:val="3"/>
      <w:sz w:val="24"/>
      <w:szCs w:val="21"/>
      <w:lang w:bidi="hi-IN" w:eastAsia="zh-CN"/>
    </w:rPr>
  </w:style>
  <w:style w:type="character" w:styleId="Riferimentointenso">
    <w:name w:val="Intense Reference"/>
    <w:basedOn w:val="Carpredefinitoparagrafo"/>
    <w:uiPriority w:val="32"/>
    <w:qFormat w:val="1"/>
    <w:rsid w:val="00190A7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anagenzia.it/attachments/article/8944/CCNL_%20ISTR%20RICERCA%20SIGLATO%2019_4_2018%20DEF_PUBB_2.pdf" TargetMode="External"/><Relationship Id="rId10" Type="http://schemas.openxmlformats.org/officeDocument/2006/relationships/hyperlink" Target="https://www.miur.gov.it/documents/20182/0/Tabella+codice+comportamento.pdf/471af791-daee-96d1-8faf-fba08bc3cad6?t=1654524003277" TargetMode="External"/><Relationship Id="rId13" Type="http://schemas.openxmlformats.org/officeDocument/2006/relationships/hyperlink" Target="https://www.normattiva.it/uri-res/N2Ls?urn:nir:stato:decreto.legislativo:2001-03-30;165" TargetMode="External"/><Relationship Id="rId12" Type="http://schemas.openxmlformats.org/officeDocument/2006/relationships/hyperlink" Target="https://www.normattiva.it/uri-res/N2Ls?urn:nir:stato:decreto.del.presidente.della.repubblica:2013-04-16;6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ur.gov.it/documents/20182/0/Codice+di+comportamento+dei+dipendenti+del+Ministero+dell%27istruzione.pdf/784ea356-9642-8227-a45f-68c3968f9042?t=1654524002518" TargetMode="External"/><Relationship Id="rId14" Type="http://schemas.openxmlformats.org/officeDocument/2006/relationships/hyperlink" Target="https://www.normattiva.it/uri-res/N2Ls?urn:nir:stato:decreto.legislativo:1994-04-16;29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azzettaufficiale.it/eli/id/2023/06/29/23G00092/sg" TargetMode="External"/><Relationship Id="rId8" Type="http://schemas.openxmlformats.org/officeDocument/2006/relationships/hyperlink" Target="https://www.miur.gov.it/documents/20182/0/d.m.+105+26-04-2022+-+adozione+Codice+comportamento.pdf/4bbf8b70-7ba8-d53a-3608-87e1eaeb7567?t=16545240028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EpSEzMC4HZDJWFjFFzRuh5h+sg==">CgMxLjA4AHIhMUdpM0tjWnlZZGRBTkJoLXZVNzBSRkpZYzgweEhYa0R3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2024-04-19T09:09:00Z</dcterms:created>
  <dc:creator>Paolo Riggio</dc:creator>
</cp:coreProperties>
</file>